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746" w:type="dxa"/>
        <w:tblInd w:w="-426" w:type="dxa"/>
        <w:tblCellMar>
          <w:left w:w="0" w:type="dxa"/>
          <w:right w:w="0" w:type="dxa"/>
        </w:tblCellMar>
        <w:tblLook w:val="04A0" w:firstRow="1" w:lastRow="0" w:firstColumn="1" w:lastColumn="0" w:noHBand="0" w:noVBand="1"/>
      </w:tblPr>
      <w:tblGrid>
        <w:gridCol w:w="7746"/>
      </w:tblGrid>
      <w:tr w:rsidR="00B10758" w:rsidRPr="00B10758" w14:paraId="20FFF57F" w14:textId="77777777" w:rsidTr="00B54259">
        <w:tc>
          <w:tcPr>
            <w:tcW w:w="7746" w:type="dxa"/>
            <w:vAlign w:val="center"/>
            <w:hideMark/>
          </w:tcPr>
          <w:p w14:paraId="7C495965" w14:textId="77777777" w:rsidR="00B10758" w:rsidRPr="00B10758" w:rsidRDefault="00B10758" w:rsidP="00B10758">
            <w:pPr>
              <w:spacing w:after="240"/>
              <w:jc w:val="both"/>
              <w:outlineLvl w:val="0"/>
              <w:rPr>
                <w:rFonts w:ascii="Cambria" w:eastAsia="Times New Roman" w:hAnsi="Cambria" w:cs="Segoe UI"/>
                <w:b/>
                <w:bCs/>
                <w:color w:val="2D3338"/>
                <w:spacing w:val="-2"/>
                <w:kern w:val="36"/>
                <w:lang w:eastAsia="es-ES_tradnl"/>
              </w:rPr>
            </w:pPr>
            <w:r w:rsidRPr="00B10758">
              <w:rPr>
                <w:rFonts w:ascii="Cambria" w:eastAsia="Times New Roman" w:hAnsi="Cambria" w:cs="Segoe UI"/>
                <w:b/>
                <w:bCs/>
                <w:color w:val="2D3338"/>
                <w:spacing w:val="-2"/>
                <w:kern w:val="36"/>
                <w:lang w:eastAsia="es-ES_tradnl"/>
              </w:rPr>
              <w:fldChar w:fldCharType="begin"/>
            </w:r>
            <w:r w:rsidRPr="00B10758">
              <w:rPr>
                <w:rFonts w:ascii="Cambria" w:eastAsia="Times New Roman" w:hAnsi="Cambria" w:cs="Segoe UI"/>
                <w:b/>
                <w:bCs/>
                <w:color w:val="2D3338"/>
                <w:spacing w:val="-2"/>
                <w:kern w:val="36"/>
                <w:lang w:eastAsia="es-ES_tradnl"/>
              </w:rPr>
              <w:instrText xml:space="preserve"> HYPERLINK "http://eukleria.com/2022/08/02/mujeres-sacerdotes-la-historia-que-han-falseado-papas-y-teologos/" \t "_blank" </w:instrText>
            </w:r>
            <w:r w:rsidRPr="00B10758">
              <w:rPr>
                <w:rFonts w:ascii="Cambria" w:eastAsia="Times New Roman" w:hAnsi="Cambria" w:cs="Segoe UI"/>
                <w:b/>
                <w:bCs/>
                <w:color w:val="2D3338"/>
                <w:spacing w:val="-2"/>
                <w:kern w:val="36"/>
                <w:lang w:eastAsia="es-ES_tradnl"/>
              </w:rPr>
              <w:fldChar w:fldCharType="separate"/>
            </w:r>
            <w:r w:rsidRPr="00B10758">
              <w:rPr>
                <w:rFonts w:ascii="Cambria" w:eastAsia="Times New Roman" w:hAnsi="Cambria" w:cs="Segoe UI"/>
                <w:b/>
                <w:bCs/>
                <w:color w:val="101517"/>
                <w:spacing w:val="-2"/>
                <w:kern w:val="36"/>
                <w:u w:val="single"/>
                <w:lang w:eastAsia="es-ES_tradnl"/>
              </w:rPr>
              <w:t>Mujeres sacerdotes: la historia que han falseado Papas y teólogos</w:t>
            </w:r>
            <w:r w:rsidRPr="00B10758">
              <w:rPr>
                <w:rFonts w:ascii="Cambria" w:eastAsia="Times New Roman" w:hAnsi="Cambria" w:cs="Segoe UI"/>
                <w:b/>
                <w:bCs/>
                <w:color w:val="2D3338"/>
                <w:spacing w:val="-2"/>
                <w:kern w:val="36"/>
                <w:lang w:eastAsia="es-ES_tradnl"/>
              </w:rPr>
              <w:fldChar w:fldCharType="end"/>
            </w:r>
          </w:p>
          <w:tbl>
            <w:tblPr>
              <w:tblW w:w="7320" w:type="dxa"/>
              <w:tblCellMar>
                <w:left w:w="0" w:type="dxa"/>
                <w:right w:w="0" w:type="dxa"/>
              </w:tblCellMar>
              <w:tblLook w:val="04A0" w:firstRow="1" w:lastRow="0" w:firstColumn="1" w:lastColumn="0" w:noHBand="0" w:noVBand="1"/>
            </w:tblPr>
            <w:tblGrid>
              <w:gridCol w:w="7320"/>
            </w:tblGrid>
            <w:tr w:rsidR="00B10758" w:rsidRPr="00B10758" w14:paraId="4B2B43D8" w14:textId="77777777">
              <w:tc>
                <w:tcPr>
                  <w:tcW w:w="0" w:type="auto"/>
                  <w:vAlign w:val="center"/>
                  <w:hideMark/>
                </w:tcPr>
                <w:p w14:paraId="155A9E52" w14:textId="6A1C9B9E" w:rsidR="00B10758" w:rsidRPr="00B10758" w:rsidRDefault="00B10758" w:rsidP="00B10758">
                  <w:pPr>
                    <w:jc w:val="both"/>
                    <w:rPr>
                      <w:rFonts w:ascii="Cambria" w:eastAsia="Times New Roman" w:hAnsi="Cambria" w:cs="Segoe UI"/>
                      <w:lang w:eastAsia="es-ES_tradnl"/>
                    </w:rPr>
                  </w:pPr>
                  <w:hyperlink r:id="rId6" w:tgtFrame="_blank" w:history="1">
                    <w:r w:rsidRPr="00B10758">
                      <w:rPr>
                        <w:rFonts w:ascii="Cambria" w:eastAsia="Times New Roman" w:hAnsi="Cambria" w:cs="Segoe UI"/>
                        <w:color w:val="0675C4"/>
                        <w:u w:val="single"/>
                        <w:lang w:eastAsia="es-ES_tradnl"/>
                      </w:rPr>
                      <w:t xml:space="preserve">El sacerdocio de las </w:t>
                    </w:r>
                    <w:proofErr w:type="spellStart"/>
                    <w:r w:rsidRPr="00B10758">
                      <w:rPr>
                        <w:rFonts w:ascii="Cambria" w:eastAsia="Times New Roman" w:hAnsi="Cambria" w:cs="Segoe UI"/>
                        <w:color w:val="0675C4"/>
                        <w:u w:val="single"/>
                        <w:lang w:eastAsia="es-ES_tradnl"/>
                      </w:rPr>
                      <w:t>mujere</w:t>
                    </w:r>
                    <w:proofErr w:type="spellEnd"/>
                  </w:hyperlink>
                </w:p>
                <w:p w14:paraId="50785D92" w14:textId="77777777" w:rsidR="00B10758" w:rsidRPr="00B10758" w:rsidRDefault="00B10758" w:rsidP="00B10758">
                  <w:pPr>
                    <w:spacing w:after="360"/>
                    <w:jc w:val="both"/>
                    <w:rPr>
                      <w:rFonts w:ascii="Cambria" w:eastAsia="Times New Roman" w:hAnsi="Cambria" w:cs="Segoe UI"/>
                      <w:color w:val="101517"/>
                      <w:lang w:eastAsia="es-ES_tradnl"/>
                    </w:rPr>
                  </w:pPr>
                  <w:hyperlink r:id="rId7" w:tgtFrame="_blank" w:history="1">
                    <w:r w:rsidRPr="00B10758">
                      <w:rPr>
                        <w:rFonts w:ascii="Cambria" w:eastAsia="Times New Roman" w:hAnsi="Cambria" w:cs="Segoe UI"/>
                        <w:color w:val="0675C4"/>
                        <w:u w:val="single"/>
                        <w:lang w:eastAsia="es-ES_tradnl"/>
                      </w:rPr>
                      <w:t>Juan José Tamayo</w:t>
                    </w:r>
                  </w:hyperlink>
                  <w:r w:rsidRPr="00B10758">
                    <w:rPr>
                      <w:rFonts w:ascii="Cambria" w:eastAsia="Times New Roman" w:hAnsi="Cambria" w:cs="Segoe UI"/>
                      <w:color w:val="101517"/>
                      <w:lang w:eastAsia="es-ES_tradnl"/>
                    </w:rPr>
                    <w:t> </w:t>
                  </w:r>
                  <w:proofErr w:type="spellStart"/>
                  <w:r w:rsidRPr="00B10758">
                    <w:rPr>
                      <w:rFonts w:ascii="Cambria" w:eastAsia="Times New Roman" w:hAnsi="Cambria" w:cs="Segoe UI"/>
                      <w:color w:val="101517"/>
                      <w:lang w:eastAsia="es-ES_tradnl"/>
                    </w:rPr>
                    <w:fldChar w:fldCharType="begin"/>
                  </w:r>
                  <w:r w:rsidRPr="00B10758">
                    <w:rPr>
                      <w:rFonts w:ascii="Cambria" w:eastAsia="Times New Roman" w:hAnsi="Cambria" w:cs="Segoe UI"/>
                      <w:color w:val="101517"/>
                      <w:lang w:eastAsia="es-ES_tradnl"/>
                    </w:rPr>
                    <w:instrText xml:space="preserve"> HYPERLINK "https://www.religiondigital.org/el_blog_de_juan_jose_tamayo/MUJERES-SACERDOTES-HISTORIA-FAVOR_7_2474222559.html" \t "_blank" </w:instrText>
                  </w:r>
                  <w:r w:rsidRPr="00B10758">
                    <w:rPr>
                      <w:rFonts w:ascii="Cambria" w:eastAsia="Times New Roman" w:hAnsi="Cambria" w:cs="Segoe UI"/>
                      <w:color w:val="101517"/>
                      <w:lang w:eastAsia="es-ES_tradnl"/>
                    </w:rPr>
                    <w:fldChar w:fldCharType="separate"/>
                  </w:r>
                  <w:r w:rsidRPr="00B10758">
                    <w:rPr>
                      <w:rFonts w:ascii="Cambria" w:eastAsia="Times New Roman" w:hAnsi="Cambria" w:cs="Segoe UI"/>
                      <w:color w:val="0675C4"/>
                      <w:u w:val="single"/>
                      <w:lang w:eastAsia="es-ES_tradnl"/>
                    </w:rPr>
                    <w:t>religion</w:t>
                  </w:r>
                  <w:proofErr w:type="spellEnd"/>
                  <w:r w:rsidRPr="00B10758">
                    <w:rPr>
                      <w:rFonts w:ascii="Cambria" w:eastAsia="Times New Roman" w:hAnsi="Cambria" w:cs="Segoe UI"/>
                      <w:color w:val="0675C4"/>
                      <w:u w:val="single"/>
                      <w:lang w:eastAsia="es-ES_tradnl"/>
                    </w:rPr>
                    <w:t xml:space="preserve"> digital</w:t>
                  </w:r>
                  <w:r w:rsidRPr="00B10758">
                    <w:rPr>
                      <w:rFonts w:ascii="Cambria" w:eastAsia="Times New Roman" w:hAnsi="Cambria" w:cs="Segoe UI"/>
                      <w:color w:val="101517"/>
                      <w:lang w:eastAsia="es-ES_tradnl"/>
                    </w:rPr>
                    <w:fldChar w:fldCharType="end"/>
                  </w:r>
                </w:p>
                <w:p w14:paraId="34AA8334"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Antiguas inscripciones hablan del sacerdocio de las mujeres en el cristianismo primitivo</w:t>
                  </w:r>
                </w:p>
                <w:p w14:paraId="0C784194"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Durante las últimas décadas han aparecido rigurosas investigaciones científicas, numerosos documentos y declaraciones de teólogos y teólogas, de movimientos cristianos de base, de organizaciones cívico-sociales, e incluso de obispos y cardenales de la Iglesia católica, reclamando fundadamente el acceso de las mujeres al sacerdocio. Todos ellos consideran la exclusión femenina del ministerio sacerdotal como una discriminación de género que es contraria a la actitud inclusiva de Jesús de Nazaret y del cristianismo primitivo, va en dirección opuesta a los movimientos de emancipación de las mujeres y a las tendencias igualitarias en la sociedad, la política, la vida doméstica y la actividad laboral.</w:t>
                  </w:r>
                </w:p>
                <w:p w14:paraId="7C787C84" w14:textId="77777777" w:rsidR="00B10758" w:rsidRPr="00B10758" w:rsidRDefault="00B10758" w:rsidP="00B10758">
                  <w:pPr>
                    <w:spacing w:before="720" w:after="360"/>
                    <w:jc w:val="both"/>
                    <w:outlineLvl w:val="1"/>
                    <w:rPr>
                      <w:rFonts w:ascii="Cambria" w:eastAsia="Times New Roman" w:hAnsi="Cambria" w:cs="Segoe UI"/>
                      <w:b/>
                      <w:bCs/>
                      <w:color w:val="2D3338"/>
                      <w:lang w:eastAsia="es-ES_tradnl"/>
                    </w:rPr>
                  </w:pPr>
                  <w:r w:rsidRPr="00B10758">
                    <w:rPr>
                      <w:rFonts w:ascii="Cambria" w:eastAsia="Times New Roman" w:hAnsi="Cambria" w:cs="Segoe UI"/>
                      <w:b/>
                      <w:bCs/>
                      <w:color w:val="2D3338"/>
                      <w:lang w:eastAsia="es-ES_tradnl"/>
                    </w:rPr>
                    <w:t>El Magisterio eclesiástico católico contra el sacerdocio de las mujeres</w:t>
                  </w:r>
                </w:p>
                <w:p w14:paraId="354DC52C"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El alto magisterio eclesiástico católico responde negativamente a esa reivindicación, apoyándose en dos argumentos: uno teológico-bíblico y otro histórico, que pueden resumirse así: Cristo no llamó a ninguna mujer a formar parte del grupo de los apóstoles, y la tradición de la Iglesia ha sido fiel a esta exclusión, no ordenando sacerdotes a las mujeres a lo largo de los veinte siglos de historia del catolicismo. Esta práctica se interpreta como la voluntad explícita de Cristo de conferir solo a los varones, dentro de la comunidad cristiana, el triple poder sacerdotal de enseñar, santificar y gobernar. Solo ellos, por su semejanza con Cristo, pueden representarlo y hacerlo presente en la eucaristía</w:t>
                  </w:r>
                </w:p>
                <w:p w14:paraId="0391EE26"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Estos argumentos vienen repitiéndose sin apenas cambios desde hace siglos y son expuestos en varios documentos de idéntico contenido, de los que destaco tres a los que apelan los obispos cada vez que los movimientos cristianos críticos se empeñan en reclamar el sacerdocio para las mujeres: la declaración de la Congregación para la Doctrina de la Fe Inter </w:t>
                  </w:r>
                  <w:proofErr w:type="spellStart"/>
                  <w:r w:rsidRPr="00B10758">
                    <w:rPr>
                      <w:rFonts w:ascii="Cambria" w:eastAsia="Times New Roman" w:hAnsi="Cambria" w:cs="Segoe UI"/>
                      <w:color w:val="101517"/>
                      <w:lang w:eastAsia="es-ES_tradnl"/>
                    </w:rPr>
                    <w:t>insigniores</w:t>
                  </w:r>
                  <w:proofErr w:type="spellEnd"/>
                  <w:r w:rsidRPr="00B10758">
                    <w:rPr>
                      <w:rFonts w:ascii="Cambria" w:eastAsia="Times New Roman" w:hAnsi="Cambria" w:cs="Segoe UI"/>
                      <w:color w:val="101517"/>
                      <w:lang w:eastAsia="es-ES_tradnl"/>
                    </w:rPr>
                    <w:t> (15 de octubre de 1976) y dos cartas apostólicas de Juan Pablo II: </w:t>
                  </w:r>
                  <w:proofErr w:type="spellStart"/>
                  <w:r w:rsidRPr="00B10758">
                    <w:rPr>
                      <w:rFonts w:ascii="Cambria" w:eastAsia="Times New Roman" w:hAnsi="Cambria" w:cs="Segoe UI"/>
                      <w:color w:val="101517"/>
                      <w:lang w:eastAsia="es-ES_tradnl"/>
                    </w:rPr>
                    <w:t>Mulieris</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dignitatem</w:t>
                  </w:r>
                  <w:proofErr w:type="spellEnd"/>
                  <w:r w:rsidRPr="00B10758">
                    <w:rPr>
                      <w:rFonts w:ascii="Cambria" w:eastAsia="Times New Roman" w:hAnsi="Cambria" w:cs="Segoe UI"/>
                      <w:color w:val="101517"/>
                      <w:lang w:eastAsia="es-ES_tradnl"/>
                    </w:rPr>
                    <w:t> (15 de agosto de 1988) y </w:t>
                  </w:r>
                  <w:proofErr w:type="spellStart"/>
                  <w:r w:rsidRPr="00B10758">
                    <w:rPr>
                      <w:rFonts w:ascii="Cambria" w:eastAsia="Times New Roman" w:hAnsi="Cambria" w:cs="Segoe UI"/>
                      <w:color w:val="101517"/>
                      <w:lang w:eastAsia="es-ES_tradnl"/>
                    </w:rPr>
                    <w:t>Ordinatio</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sacerdotalis</w:t>
                  </w:r>
                  <w:proofErr w:type="spellEnd"/>
                  <w:r w:rsidRPr="00B10758">
                    <w:rPr>
                      <w:rFonts w:ascii="Cambria" w:eastAsia="Times New Roman" w:hAnsi="Cambria" w:cs="Segoe UI"/>
                      <w:color w:val="101517"/>
                      <w:lang w:eastAsia="es-ES_tradnl"/>
                    </w:rPr>
                    <w:t xml:space="preserve">. Sobre la ordenación sacerdotal reservada sólo a los hombres (22 de mayo de 1994). La más contundente de todas las declaraciones al respecto es esta última, que zanja la cuestión y cierra todas las puertas a cualquier cambio en el futuro con un tono dogmático y absoluto impropio de una declaración que choca con los datos de la historia: “Declaro que la Iglesia no tiene en modo alguno facultad de </w:t>
                  </w:r>
                  <w:r w:rsidRPr="00B10758">
                    <w:rPr>
                      <w:rFonts w:ascii="Cambria" w:eastAsia="Times New Roman" w:hAnsi="Cambria" w:cs="Segoe UI"/>
                      <w:color w:val="101517"/>
                      <w:lang w:eastAsia="es-ES_tradnl"/>
                    </w:rPr>
                    <w:lastRenderedPageBreak/>
                    <w:t>conferir la ordenación sacerdotal a las mujeres, y que este dictamen debe ser considerado como definitivo por todos los fieles de la Iglesia”.</w:t>
                  </w:r>
                </w:p>
                <w:p w14:paraId="461161B8" w14:textId="084B44C1" w:rsidR="00B10758" w:rsidRPr="00B10758" w:rsidRDefault="00B10758" w:rsidP="006C566B">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Unos meses antes de renunciar al pontificado, Benedicto XVI, citando la </w:t>
                  </w:r>
                  <w:proofErr w:type="spellStart"/>
                  <w:r w:rsidRPr="00B10758">
                    <w:rPr>
                      <w:rFonts w:ascii="Cambria" w:eastAsia="Times New Roman" w:hAnsi="Cambria" w:cs="Segoe UI"/>
                      <w:color w:val="101517"/>
                      <w:lang w:eastAsia="es-ES_tradnl"/>
                    </w:rPr>
                    <w:t>Ordinatio</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sacerdotalis</w:t>
                  </w:r>
                  <w:proofErr w:type="spellEnd"/>
                  <w:r w:rsidRPr="00B10758">
                    <w:rPr>
                      <w:rFonts w:ascii="Cambria" w:eastAsia="Times New Roman" w:hAnsi="Cambria" w:cs="Segoe UI"/>
                      <w:color w:val="101517"/>
                      <w:lang w:eastAsia="es-ES_tradnl"/>
                    </w:rPr>
                    <w:t>, de Juan Pablo II, ratificó la prohibición de la Iglesia católica de ordenar a mujeres con un tono más contundente todavía al aseverar que dicha prohibición es parte de la constitución divina de la Iglesia y declarar que la Iglesia carece de autoridad para permitir el acceso de las mujeres al sacerdocio, ya que Jesucristo ordenó sacerdotes solo a hombres, y lo hizo voluntariamente.  </w:t>
                  </w:r>
                </w:p>
                <w:p w14:paraId="3436D7A6" w14:textId="77777777" w:rsidR="006C566B" w:rsidRDefault="00B10758" w:rsidP="006C566B">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Es verdad que la historia no es pródiga en ofrecer relatos de mujeres sacerdotes. Esto no debe extrañar ni sorprender, ya que ha sido escrita por varones, en su mayoría clérigos, y su tendencia ha sido a ocultar el protagonismo de las mujeres en la historia del cristianismo y a mitificar el sacerdocio patriarcal. “Si las mujeres hubieran escrito los libros, estoy segura de que lo habrían hecho de otra manera, porque ellas saben que se les acusa en falso”. Esto escribía Cristina de Pisan, autora de La ciudad de las damas en 1404, la obra que suele considerarse </w:t>
                  </w:r>
                  <w:proofErr w:type="spellStart"/>
                  <w:r w:rsidRPr="00B10758">
                    <w:rPr>
                      <w:rFonts w:ascii="Cambria" w:eastAsia="Times New Roman" w:hAnsi="Cambria" w:cs="Segoe UI"/>
                      <w:color w:val="101517"/>
                      <w:lang w:eastAsia="es-ES_tradnl"/>
                    </w:rPr>
                    <w:t>protofeminista</w:t>
                  </w:r>
                  <w:proofErr w:type="spellEnd"/>
                  <w:r w:rsidRPr="00B10758">
                    <w:rPr>
                      <w:rFonts w:ascii="Cambria" w:eastAsia="Times New Roman" w:hAnsi="Cambria" w:cs="Segoe UI"/>
                      <w:color w:val="101517"/>
                      <w:lang w:eastAsia="es-ES_tradnl"/>
                    </w:rPr>
                    <w:t>. Sin embargo, documentos no faltan, como voy a intentar mostrar.</w:t>
                  </w:r>
                </w:p>
                <w:p w14:paraId="3023501E" w14:textId="64DE0370" w:rsidR="00B10758" w:rsidRPr="00B10758" w:rsidRDefault="00B10758" w:rsidP="006C566B">
                  <w:pPr>
                    <w:spacing w:after="360"/>
                    <w:jc w:val="both"/>
                    <w:rPr>
                      <w:rFonts w:ascii="Cambria" w:eastAsia="Times New Roman" w:hAnsi="Cambria" w:cs="Segoe UI"/>
                      <w:color w:val="101517"/>
                      <w:lang w:eastAsia="es-ES_tradnl"/>
                    </w:rPr>
                  </w:pPr>
                  <w:r w:rsidRPr="00B10758">
                    <w:rPr>
                      <w:rFonts w:ascii="Cambria" w:eastAsia="Times New Roman" w:hAnsi="Cambria" w:cs="Segoe UI"/>
                      <w:b/>
                      <w:bCs/>
                      <w:color w:val="2D3338"/>
                      <w:lang w:eastAsia="es-ES_tradnl"/>
                    </w:rPr>
                    <w:t>Presidencia de las mujeres de la eucaristía en las iglesias domésticas</w:t>
                  </w:r>
                </w:p>
                <w:p w14:paraId="55C5642A" w14:textId="60009451"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La mayoría de los estudios sobre el Nuevo Testamento, de las investigaciones históricas sobre el cristianismo primitivo y de las reflexiones teológicas actuales coincide en que no hay razones teológicas, bíblicas e históricas, y menos past</w:t>
                  </w:r>
                  <w:r w:rsidR="006C566B">
                    <w:rPr>
                      <w:rFonts w:ascii="Cambria" w:eastAsia="Times New Roman" w:hAnsi="Cambria" w:cs="Segoe UI"/>
                      <w:color w:val="101517"/>
                      <w:lang w:eastAsia="es-ES_tradnl"/>
                    </w:rPr>
                    <w:t>o</w:t>
                  </w:r>
                  <w:r w:rsidRPr="00B10758">
                    <w:rPr>
                      <w:rFonts w:ascii="Cambria" w:eastAsia="Times New Roman" w:hAnsi="Cambria" w:cs="Segoe UI"/>
                      <w:color w:val="101517"/>
                      <w:lang w:eastAsia="es-ES_tradnl"/>
                    </w:rPr>
                    <w:t>rales, para la exclusión de las mujeres de los diferentes ministerios eclesiales. Según consta en algunas tradiciones evangélicas, las mujeres se incorporaron al movimiento de Jesús en igualdad de condiciones que los varones. Esta práctica religiosa inclusiva suponía una verdadera revolución en el seno de la sociedad y la religión judías de carácter patriarcal y androcéntrico. Creo puede afirmarse que las mujeres recuperan en el movimiento de Jesús la libertad y la dignidad que les negaban los códigos domésticos romanos y las tendencias ortodoxas del judaísmo.</w:t>
                  </w:r>
                </w:p>
                <w:p w14:paraId="13DF0887" w14:textId="77777777" w:rsid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Las mujeres ejercieron funciones ministeriales y directivas en el cristianismo primitivo. En su libro El ministerio eclesial. Responsables en la comunidad cristiana (Ediciones Cristiandad, Madrid, 1983) Edward </w:t>
                  </w:r>
                  <w:proofErr w:type="spellStart"/>
                  <w:r w:rsidRPr="00B10758">
                    <w:rPr>
                      <w:rFonts w:ascii="Cambria" w:eastAsia="Times New Roman" w:hAnsi="Cambria" w:cs="Segoe UI"/>
                      <w:color w:val="101517"/>
                      <w:lang w:eastAsia="es-ES_tradnl"/>
                    </w:rPr>
                    <w:t>Schillebeeckx</w:t>
                  </w:r>
                  <w:proofErr w:type="spellEnd"/>
                  <w:r w:rsidRPr="00B10758">
                    <w:rPr>
                      <w:rFonts w:ascii="Cambria" w:eastAsia="Times New Roman" w:hAnsi="Cambria" w:cs="Segoe UI"/>
                      <w:color w:val="101517"/>
                      <w:lang w:eastAsia="es-ES_tradnl"/>
                    </w:rPr>
                    <w:t xml:space="preserve"> asevera que las mujeres, en cuanto responsables de las comunidades cristianas domésticas, pudieran presidir la celebración eucarística.</w:t>
                  </w:r>
                </w:p>
                <w:p w14:paraId="7B6316EF" w14:textId="32056421"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b/>
                      <w:bCs/>
                      <w:color w:val="2D3338"/>
                      <w:lang w:eastAsia="es-ES_tradnl"/>
                    </w:rPr>
                    <w:t>Dios, ¿legitimador del patriarcado?</w:t>
                  </w:r>
                </w:p>
                <w:p w14:paraId="207575AC" w14:textId="77777777" w:rsid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Importantes investigaciones históricas desmienten las contundentes afirmaciones del magisterio papal, hasta invalidarlas y convertirlas en pura retórica al servicio de una institución jerárquico-piramidal-clerical </w:t>
                  </w:r>
                  <w:r w:rsidRPr="00B10758">
                    <w:rPr>
                      <w:rFonts w:ascii="Cambria" w:eastAsia="Times New Roman" w:hAnsi="Cambria" w:cs="Segoe UI"/>
                      <w:color w:val="101517"/>
                      <w:lang w:eastAsia="es-ES_tradnl"/>
                    </w:rPr>
                    <w:lastRenderedPageBreak/>
                    <w:t>como es la Iglesia católica, uno de los últimos y más eficaces bastiones del patriarcado, que apela a la masculinidad de Dios “Padre” y a la virilidad de Jesús de Nazaret para excluir a las mujeres del ministerio presbiteral, episcopal y papal. Dicha práctica excluyente de las mujeres del ámbito de lo sagrado y de la representación divina viene a confirmar las dos afirmaciones tan certeras de dos feministas del feminismo de la tercera ola: Mary Daly y Kate Millet. La primera afirma en su libro Más allá de Dios Padre (1973): “Si Dios es varón, el varón es Dios”. La segunda escribe en Política sexual (1970): “El patriarcado tiene a Dios de su lado”.</w:t>
                  </w:r>
                </w:p>
                <w:p w14:paraId="2D6F8A91" w14:textId="57FD0353" w:rsidR="00B10758" w:rsidRPr="00B10758" w:rsidRDefault="00B10758" w:rsidP="00B10758">
                  <w:pPr>
                    <w:spacing w:after="360"/>
                    <w:jc w:val="both"/>
                    <w:rPr>
                      <w:rFonts w:ascii="Cambria" w:eastAsia="Times New Roman" w:hAnsi="Cambria" w:cs="Segoe UI"/>
                      <w:color w:val="101517"/>
                      <w:lang w:eastAsia="es-ES_tradnl"/>
                    </w:rPr>
                  </w:pPr>
                  <w:proofErr w:type="spellStart"/>
                  <w:r w:rsidRPr="00B10758">
                    <w:rPr>
                      <w:rFonts w:ascii="Cambria" w:eastAsia="Times New Roman" w:hAnsi="Cambria" w:cs="Segoe UI"/>
                      <w:b/>
                      <w:bCs/>
                      <w:color w:val="2D3338"/>
                      <w:lang w:eastAsia="es-ES_tradnl"/>
                    </w:rPr>
                    <w:t>Theodora</w:t>
                  </w:r>
                  <w:proofErr w:type="spellEnd"/>
                  <w:r w:rsidRPr="00B10758">
                    <w:rPr>
                      <w:rFonts w:ascii="Cambria" w:eastAsia="Times New Roman" w:hAnsi="Cambria" w:cs="Segoe UI"/>
                      <w:b/>
                      <w:bCs/>
                      <w:color w:val="2D3338"/>
                      <w:lang w:eastAsia="es-ES_tradnl"/>
                    </w:rPr>
                    <w:t xml:space="preserve">, </w:t>
                  </w:r>
                  <w:proofErr w:type="spellStart"/>
                  <w:r w:rsidRPr="00B10758">
                    <w:rPr>
                      <w:rFonts w:ascii="Cambria" w:eastAsia="Times New Roman" w:hAnsi="Cambria" w:cs="Segoe UI"/>
                      <w:b/>
                      <w:bCs/>
                      <w:color w:val="2D3338"/>
                      <w:lang w:eastAsia="es-ES_tradnl"/>
                    </w:rPr>
                    <w:t>episcopa</w:t>
                  </w:r>
                  <w:proofErr w:type="spellEnd"/>
                </w:p>
                <w:p w14:paraId="11B9732D" w14:textId="1DD40F7F" w:rsidR="00B10758" w:rsidRPr="00B10758" w:rsidRDefault="00B10758" w:rsidP="00B10758">
                  <w:pPr>
                    <w:spacing w:after="360"/>
                    <w:jc w:val="both"/>
                    <w:rPr>
                      <w:rFonts w:ascii="Cambria" w:eastAsia="Times New Roman" w:hAnsi="Cambria" w:cs="Segoe UI"/>
                      <w:lang w:eastAsia="es-ES_tradnl"/>
                    </w:rPr>
                  </w:pPr>
                  <w:r w:rsidRPr="00B10758">
                    <w:rPr>
                      <w:rFonts w:ascii="Cambria" w:eastAsia="Times New Roman" w:hAnsi="Cambria" w:cs="Segoe UI"/>
                      <w:color w:val="101517"/>
                      <w:lang w:eastAsia="es-ES_tradnl"/>
                    </w:rPr>
                    <w:t xml:space="preserve">Para no alargar en exceso este artículo voy a citar dos de los estudios más rigurosos que invalidan las afirmaciones de los tres documentos antes citados: Cuando las mujeres eran sacerdotes (El Almendro, Córdoba, 2000), de Karen Jo </w:t>
                  </w:r>
                  <w:proofErr w:type="spellStart"/>
                  <w:r w:rsidRPr="00B10758">
                    <w:rPr>
                      <w:rFonts w:ascii="Cambria" w:eastAsia="Times New Roman" w:hAnsi="Cambria" w:cs="Segoe UI"/>
                      <w:color w:val="101517"/>
                      <w:lang w:eastAsia="es-ES_tradnl"/>
                    </w:rPr>
                    <w:t>Torjesen</w:t>
                  </w:r>
                  <w:proofErr w:type="spellEnd"/>
                  <w:r w:rsidRPr="00B10758">
                    <w:rPr>
                      <w:rFonts w:ascii="Cambria" w:eastAsia="Times New Roman" w:hAnsi="Cambria" w:cs="Segoe UI"/>
                      <w:color w:val="101517"/>
                      <w:lang w:eastAsia="es-ES_tradnl"/>
                    </w:rPr>
                    <w:t xml:space="preserve">, catedrática de Estudios sobre la Mujer y la Religión en </w:t>
                  </w:r>
                  <w:proofErr w:type="spellStart"/>
                  <w:r w:rsidRPr="00B10758">
                    <w:rPr>
                      <w:rFonts w:ascii="Cambria" w:eastAsia="Times New Roman" w:hAnsi="Cambria" w:cs="Segoe UI"/>
                      <w:color w:val="101517"/>
                      <w:lang w:eastAsia="es-ES_tradnl"/>
                    </w:rPr>
                    <w:t>Claremont</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Graduate</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School</w:t>
                  </w:r>
                  <w:proofErr w:type="spellEnd"/>
                  <w:r w:rsidRPr="00B10758">
                    <w:rPr>
                      <w:rFonts w:ascii="Cambria" w:eastAsia="Times New Roman" w:hAnsi="Cambria" w:cs="Segoe UI"/>
                      <w:color w:val="101517"/>
                      <w:lang w:eastAsia="es-ES_tradnl"/>
                    </w:rPr>
                    <w:t xml:space="preserve">, y los trabajos del historiador italiano Giorgio Otranto, director del Instituto de Estudios Clásicos y Cristianos de la Universidad de Bari. En ellos se demuestra, mediante inscripciones en tumbas y mosaicos, cartas pontificias y otros textos, </w:t>
                  </w:r>
                </w:p>
                <w:p w14:paraId="128433CE"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Debajo del arco de una basílica romana aparece un fresco con cuatro mujeres. Dos de ellas son las santas Práxedes y Prudencia, a quienes está dedicada la iglesia. Otra es María, madre de Jesús de Nazaret. Sobre la cabeza de la cuarta hay una inscripción que dice: </w:t>
                  </w:r>
                  <w:proofErr w:type="spellStart"/>
                  <w:r w:rsidRPr="00B10758">
                    <w:rPr>
                      <w:rFonts w:ascii="Cambria" w:eastAsia="Times New Roman" w:hAnsi="Cambria" w:cs="Segoe UI"/>
                      <w:color w:val="101517"/>
                      <w:lang w:eastAsia="es-ES_tradnl"/>
                    </w:rPr>
                    <w:t>Theodora</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Episcopa</w:t>
                  </w:r>
                  <w:proofErr w:type="spellEnd"/>
                  <w:r w:rsidRPr="00B10758">
                    <w:rPr>
                      <w:rFonts w:ascii="Cambria" w:eastAsia="Times New Roman" w:hAnsi="Cambria" w:cs="Segoe UI"/>
                      <w:color w:val="101517"/>
                      <w:lang w:eastAsia="es-ES_tradnl"/>
                    </w:rPr>
                    <w:t xml:space="preserve"> (= Obispa). La 'a' de </w:t>
                  </w:r>
                  <w:proofErr w:type="spellStart"/>
                  <w:r w:rsidRPr="00B10758">
                    <w:rPr>
                      <w:rFonts w:ascii="Cambria" w:eastAsia="Times New Roman" w:hAnsi="Cambria" w:cs="Segoe UI"/>
                      <w:color w:val="101517"/>
                      <w:lang w:eastAsia="es-ES_tradnl"/>
                    </w:rPr>
                    <w:t>Theodora</w:t>
                  </w:r>
                  <w:proofErr w:type="spellEnd"/>
                  <w:r w:rsidRPr="00B10758">
                    <w:rPr>
                      <w:rFonts w:ascii="Cambria" w:eastAsia="Times New Roman" w:hAnsi="Cambria" w:cs="Segoe UI"/>
                      <w:color w:val="101517"/>
                      <w:lang w:eastAsia="es-ES_tradnl"/>
                    </w:rPr>
                    <w:t xml:space="preserve"> está raspada en el mosaico, no así la 'a' de </w:t>
                  </w:r>
                  <w:proofErr w:type="spellStart"/>
                  <w:r w:rsidRPr="00B10758">
                    <w:rPr>
                      <w:rFonts w:ascii="Cambria" w:eastAsia="Times New Roman" w:hAnsi="Cambria" w:cs="Segoe UI"/>
                      <w:color w:val="101517"/>
                      <w:lang w:eastAsia="es-ES_tradnl"/>
                    </w:rPr>
                    <w:t>Episcopa</w:t>
                  </w:r>
                  <w:proofErr w:type="spellEnd"/>
                  <w:r w:rsidRPr="00B10758">
                    <w:rPr>
                      <w:rFonts w:ascii="Cambria" w:eastAsia="Times New Roman" w:hAnsi="Cambria" w:cs="Segoe UI"/>
                      <w:color w:val="101517"/>
                      <w:lang w:eastAsia="es-ES_tradnl"/>
                    </w:rPr>
                    <w:t>.</w:t>
                  </w:r>
                </w:p>
                <w:p w14:paraId="74C430FC"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En el siglo pasado se descubrieron inscripciones que hablan a favor del ejercicio del sacerdocio de las mujeres en el cristianismo primitivo. En una tumba de Tropea (Calabria meridional, Italia) aparece la siguiente dedicatoria a “</w:t>
                  </w:r>
                  <w:proofErr w:type="spellStart"/>
                  <w:r w:rsidRPr="00B10758">
                    <w:rPr>
                      <w:rFonts w:ascii="Cambria" w:eastAsia="Times New Roman" w:hAnsi="Cambria" w:cs="Segoe UI"/>
                      <w:color w:val="101517"/>
                      <w:lang w:eastAsia="es-ES_tradnl"/>
                    </w:rPr>
                    <w:t>Leta</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Presbytera</w:t>
                  </w:r>
                  <w:proofErr w:type="spellEnd"/>
                  <w:r w:rsidRPr="00B10758">
                    <w:rPr>
                      <w:rFonts w:ascii="Cambria" w:eastAsia="Times New Roman" w:hAnsi="Cambria" w:cs="Segoe UI"/>
                      <w:color w:val="101517"/>
                      <w:lang w:eastAsia="es-ES_tradnl"/>
                    </w:rPr>
                    <w:t xml:space="preserve">”, que data de mediados del siglo V: “Consagrada a su buena fama, </w:t>
                  </w:r>
                  <w:proofErr w:type="spellStart"/>
                  <w:r w:rsidRPr="00B10758">
                    <w:rPr>
                      <w:rFonts w:ascii="Cambria" w:eastAsia="Times New Roman" w:hAnsi="Cambria" w:cs="Segoe UI"/>
                      <w:color w:val="101517"/>
                      <w:lang w:eastAsia="es-ES_tradnl"/>
                    </w:rPr>
                    <w:t>Leta</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Presbytera</w:t>
                  </w:r>
                  <w:proofErr w:type="spellEnd"/>
                  <w:r w:rsidRPr="00B10758">
                    <w:rPr>
                      <w:rFonts w:ascii="Cambria" w:eastAsia="Times New Roman" w:hAnsi="Cambria" w:cs="Segoe UI"/>
                      <w:color w:val="101517"/>
                      <w:lang w:eastAsia="es-ES_tradnl"/>
                    </w:rPr>
                    <w:t xml:space="preserve"> vivió cuarenta años, ocho meses y nueve días, y su esposo le erigió este sepulcro. La precedió en paz la víspera de los Idus de Marzo”.</w:t>
                  </w:r>
                </w:p>
                <w:p w14:paraId="25983ADF" w14:textId="77777777" w:rsidR="00B10758" w:rsidRPr="00B10758" w:rsidRDefault="00B10758" w:rsidP="00B54259">
                  <w:pPr>
                    <w:spacing w:after="360"/>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Otras inscripciones de los siglos VI y VII atestiguan igualmente la existencia de mujeres sacerdotes en </w:t>
                  </w:r>
                  <w:proofErr w:type="spellStart"/>
                  <w:r w:rsidRPr="00B10758">
                    <w:rPr>
                      <w:rFonts w:ascii="Cambria" w:eastAsia="Times New Roman" w:hAnsi="Cambria" w:cs="Segoe UI"/>
                      <w:color w:val="101517"/>
                      <w:lang w:eastAsia="es-ES_tradnl"/>
                    </w:rPr>
                    <w:t>Salone</w:t>
                  </w:r>
                  <w:proofErr w:type="spellEnd"/>
                  <w:r w:rsidRPr="00B10758">
                    <w:rPr>
                      <w:rFonts w:ascii="Cambria" w:eastAsia="Times New Roman" w:hAnsi="Cambria" w:cs="Segoe UI"/>
                      <w:color w:val="101517"/>
                      <w:lang w:eastAsia="es-ES_tradnl"/>
                    </w:rPr>
                    <w:t xml:space="preserve"> (Dalmacia) (</w:t>
                  </w:r>
                  <w:proofErr w:type="spellStart"/>
                  <w:r w:rsidRPr="00B10758">
                    <w:rPr>
                      <w:rFonts w:ascii="Cambria" w:eastAsia="Times New Roman" w:hAnsi="Cambria" w:cs="Segoe UI"/>
                      <w:color w:val="101517"/>
                      <w:lang w:eastAsia="es-ES_tradnl"/>
                    </w:rPr>
                    <w:t>presbytera</w:t>
                  </w:r>
                  <w:proofErr w:type="spellEnd"/>
                  <w:r w:rsidRPr="00B10758">
                    <w:rPr>
                      <w:rFonts w:ascii="Cambria" w:eastAsia="Times New Roman" w:hAnsi="Cambria" w:cs="Segoe UI"/>
                      <w:color w:val="101517"/>
                      <w:lang w:eastAsia="es-ES_tradnl"/>
                    </w:rPr>
                    <w:t>, </w:t>
                  </w:r>
                  <w:proofErr w:type="spellStart"/>
                  <w:r w:rsidRPr="00B10758">
                    <w:rPr>
                      <w:rFonts w:ascii="Cambria" w:eastAsia="Times New Roman" w:hAnsi="Cambria" w:cs="Segoe UI"/>
                      <w:color w:val="101517"/>
                      <w:lang w:eastAsia="es-ES_tradnl"/>
                    </w:rPr>
                    <w:t>sacerdota</w:t>
                  </w:r>
                  <w:proofErr w:type="spellEnd"/>
                  <w:r w:rsidRPr="00B10758">
                    <w:rPr>
                      <w:rFonts w:ascii="Cambria" w:eastAsia="Times New Roman" w:hAnsi="Cambria" w:cs="Segoe UI"/>
                      <w:color w:val="101517"/>
                      <w:lang w:eastAsia="es-ES_tradnl"/>
                    </w:rPr>
                    <w:t>), Hipona, diócesis africana de la que fue obispo san Agustín cerca de cuarenta años (</w:t>
                  </w:r>
                  <w:proofErr w:type="spellStart"/>
                  <w:r w:rsidRPr="00B10758">
                    <w:rPr>
                      <w:rFonts w:ascii="Cambria" w:eastAsia="Times New Roman" w:hAnsi="Cambria" w:cs="Segoe UI"/>
                      <w:color w:val="101517"/>
                      <w:lang w:eastAsia="es-ES_tradnl"/>
                    </w:rPr>
                    <w:t>presbiterissa</w:t>
                  </w:r>
                  <w:proofErr w:type="spellEnd"/>
                  <w:r w:rsidRPr="00B10758">
                    <w:rPr>
                      <w:rFonts w:ascii="Cambria" w:eastAsia="Times New Roman" w:hAnsi="Cambria" w:cs="Segoe UI"/>
                      <w:color w:val="101517"/>
                      <w:lang w:eastAsia="es-ES_tradnl"/>
                    </w:rPr>
                    <w:t xml:space="preserve">), en las cercanías de </w:t>
                  </w:r>
                  <w:proofErr w:type="spellStart"/>
                  <w:r w:rsidRPr="00B10758">
                    <w:rPr>
                      <w:rFonts w:ascii="Cambria" w:eastAsia="Times New Roman" w:hAnsi="Cambria" w:cs="Segoe UI"/>
                      <w:color w:val="101517"/>
                      <w:lang w:eastAsia="es-ES_tradnl"/>
                    </w:rPr>
                    <w:t>Poitires</w:t>
                  </w:r>
                  <w:proofErr w:type="spellEnd"/>
                  <w:r w:rsidRPr="00B10758">
                    <w:rPr>
                      <w:rFonts w:ascii="Cambria" w:eastAsia="Times New Roman" w:hAnsi="Cambria" w:cs="Segoe UI"/>
                      <w:color w:val="101517"/>
                      <w:lang w:eastAsia="es-ES_tradnl"/>
                    </w:rPr>
                    <w:t xml:space="preserve"> (Francia) (</w:t>
                  </w:r>
                  <w:proofErr w:type="spellStart"/>
                  <w:r w:rsidRPr="00B10758">
                    <w:rPr>
                      <w:rFonts w:ascii="Cambria" w:eastAsia="Times New Roman" w:hAnsi="Cambria" w:cs="Segoe UI"/>
                      <w:color w:val="101517"/>
                      <w:lang w:eastAsia="es-ES_tradnl"/>
                    </w:rPr>
                    <w:t>presbyteria</w:t>
                  </w:r>
                  <w:proofErr w:type="spellEnd"/>
                  <w:r w:rsidRPr="00B10758">
                    <w:rPr>
                      <w:rFonts w:ascii="Cambria" w:eastAsia="Times New Roman" w:hAnsi="Cambria" w:cs="Segoe UI"/>
                      <w:color w:val="101517"/>
                      <w:lang w:eastAsia="es-ES_tradnl"/>
                    </w:rPr>
                    <w:t>) y, en Tracia (</w:t>
                  </w:r>
                  <w:proofErr w:type="spellStart"/>
                  <w:r w:rsidRPr="00B10758">
                    <w:rPr>
                      <w:rFonts w:ascii="Cambria" w:eastAsia="Times New Roman" w:hAnsi="Cambria" w:cs="Segoe UI"/>
                      <w:color w:val="101517"/>
                      <w:lang w:eastAsia="es-ES_tradnl"/>
                    </w:rPr>
                    <w:t>presbytera</w:t>
                  </w:r>
                  <w:proofErr w:type="spellEnd"/>
                  <w:r w:rsidRPr="00B10758">
                    <w:rPr>
                      <w:rFonts w:ascii="Cambria" w:eastAsia="Times New Roman" w:hAnsi="Cambria" w:cs="Segoe UI"/>
                      <w:color w:val="101517"/>
                      <w:lang w:eastAsia="es-ES_tradnl"/>
                    </w:rPr>
                    <w:t>, en griego), etcétera.</w:t>
                  </w:r>
                </w:p>
                <w:p w14:paraId="5C173249"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En un tratado sobre la virtud de la virginidad, del siglo IV, atribuido a san Atanasio, se afirma que las mujeres consagradas pueden celebrar juntas la fracción del pan sin la presencia de un sacerdote varón: “Las santas vírgenes pueden bendecir el pan tres veces con la señal de la cruz, </w:t>
                  </w:r>
                  <w:r w:rsidRPr="00B10758">
                    <w:rPr>
                      <w:rFonts w:ascii="Cambria" w:eastAsia="Times New Roman" w:hAnsi="Cambria" w:cs="Segoe UI"/>
                      <w:color w:val="101517"/>
                      <w:lang w:eastAsia="es-ES_tradnl"/>
                    </w:rPr>
                    <w:lastRenderedPageBreak/>
                    <w:t xml:space="preserve">pronunciar la acción de gracias y orar, pues el reino de los cielos no es ni masculino ni femenino. Todas las mujeres que fueron recibidas por el Señor alcanzaron la categoría de varones” (De </w:t>
                  </w:r>
                  <w:proofErr w:type="spellStart"/>
                  <w:r w:rsidRPr="00B10758">
                    <w:rPr>
                      <w:rFonts w:ascii="Cambria" w:eastAsia="Times New Roman" w:hAnsi="Cambria" w:cs="Segoe UI"/>
                      <w:color w:val="101517"/>
                      <w:lang w:eastAsia="es-ES_tradnl"/>
                    </w:rPr>
                    <w:t>virginitate</w:t>
                  </w:r>
                  <w:proofErr w:type="spellEnd"/>
                  <w:r w:rsidRPr="00B10758">
                    <w:rPr>
                      <w:rFonts w:ascii="Cambria" w:eastAsia="Times New Roman" w:hAnsi="Cambria" w:cs="Segoe UI"/>
                      <w:color w:val="101517"/>
                      <w:lang w:eastAsia="es-ES_tradnl"/>
                    </w:rPr>
                    <w:t>, PG 28, col. 263).</w:t>
                  </w:r>
                </w:p>
                <w:p w14:paraId="00F0F9FB"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En una carta del papa Gelasio I (492-496) dirigida a los obispos del sur de Italia el año 494, les dice que se ha enterado, para gran pesar suyo, de que los asuntos de la Iglesia han llegado a un estado tan bajo que se anima a las mujeres a oficiar en los sagrados altares y a participar en todas las actividades del sexo masculino al que ellas no pertenecen. Los propios obispos de esa región italiana habían concedido el sacramento del orden a mujeres, y estas ejercían las funciones sacerdotales con normalidad.</w:t>
                  </w:r>
                </w:p>
                <w:p w14:paraId="37B2D565" w14:textId="7947C0BB" w:rsidR="00B10758" w:rsidRDefault="00B10758" w:rsidP="00B10758">
                  <w:pPr>
                    <w:jc w:val="both"/>
                    <w:rPr>
                      <w:rFonts w:ascii="Cambria" w:eastAsia="Times New Roman" w:hAnsi="Cambria" w:cs="Segoe UI"/>
                      <w:lang w:eastAsia="es-ES_tradnl"/>
                    </w:rPr>
                  </w:pPr>
                  <w:r w:rsidRPr="00B10758">
                    <w:rPr>
                      <w:rFonts w:ascii="Cambria" w:eastAsia="Times New Roman" w:hAnsi="Cambria" w:cs="Segoe UI"/>
                      <w:lang w:eastAsia="es-ES_tradnl"/>
                    </w:rPr>
                    <w:fldChar w:fldCharType="begin"/>
                  </w:r>
                  <w:r w:rsidRPr="00B10758">
                    <w:rPr>
                      <w:rFonts w:ascii="Cambria" w:eastAsia="Times New Roman" w:hAnsi="Cambria" w:cs="Segoe UI"/>
                      <w:lang w:eastAsia="es-ES_tradnl"/>
                    </w:rPr>
                    <w:instrText xml:space="preserve"> INCLUDEPICTURE "/var/folders/6v/hrqdhz2s27nbd0grnw_xc8tw0000gn/T/com.microsoft.Word/WebArchiveCopyPasteTempFiles/Febe-Cencreas_2474162564_16150385_667x375.png" \* MERGEFORMATINET </w:instrText>
                  </w:r>
                  <w:r w:rsidRPr="00B10758">
                    <w:rPr>
                      <w:rFonts w:ascii="Cambria" w:eastAsia="Times New Roman" w:hAnsi="Cambria" w:cs="Segoe UI"/>
                      <w:lang w:eastAsia="es-ES_tradnl"/>
                    </w:rPr>
                    <w:fldChar w:fldCharType="separate"/>
                  </w:r>
                  <w:r w:rsidRPr="00B10758">
                    <w:rPr>
                      <w:rFonts w:ascii="Cambria" w:eastAsia="Times New Roman" w:hAnsi="Cambria" w:cs="Segoe UI"/>
                      <w:noProof/>
                      <w:lang w:eastAsia="es-ES_tradnl"/>
                    </w:rPr>
                    <w:drawing>
                      <wp:anchor distT="0" distB="0" distL="114300" distR="114300" simplePos="0" relativeHeight="251658240" behindDoc="0" locked="0" layoutInCell="1" allowOverlap="1" wp14:anchorId="507CC480" wp14:editId="12D85D01">
                        <wp:simplePos x="0" y="0"/>
                        <wp:positionH relativeFrom="column">
                          <wp:posOffset>0</wp:posOffset>
                        </wp:positionH>
                        <wp:positionV relativeFrom="paragraph">
                          <wp:posOffset>0</wp:posOffset>
                        </wp:positionV>
                        <wp:extent cx="2317115" cy="130048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115" cy="1300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0758">
                    <w:rPr>
                      <w:rFonts w:ascii="Cambria" w:eastAsia="Times New Roman" w:hAnsi="Cambria" w:cs="Segoe UI"/>
                      <w:lang w:eastAsia="es-ES_tradnl"/>
                    </w:rPr>
                    <w:fldChar w:fldCharType="end"/>
                  </w:r>
                  <w:hyperlink r:id="rId9" w:tgtFrame="_blank" w:history="1">
                    <w:r w:rsidRPr="00B10758">
                      <w:rPr>
                        <w:rFonts w:ascii="Cambria" w:eastAsia="Times New Roman" w:hAnsi="Cambria" w:cs="Segoe UI"/>
                        <w:color w:val="0675C4"/>
                        <w:u w:val="single"/>
                        <w:lang w:eastAsia="es-ES_tradnl"/>
                      </w:rPr>
                      <w:t xml:space="preserve">Febe de </w:t>
                    </w:r>
                    <w:proofErr w:type="spellStart"/>
                    <w:r w:rsidRPr="00B10758">
                      <w:rPr>
                        <w:rFonts w:ascii="Cambria" w:eastAsia="Times New Roman" w:hAnsi="Cambria" w:cs="Segoe UI"/>
                        <w:color w:val="0675C4"/>
                        <w:u w:val="single"/>
                        <w:lang w:eastAsia="es-ES_tradnl"/>
                      </w:rPr>
                      <w:t>Cencreas</w:t>
                    </w:r>
                    <w:proofErr w:type="spellEnd"/>
                  </w:hyperlink>
                </w:p>
                <w:p w14:paraId="50B9ABE9" w14:textId="77777777" w:rsidR="00B10758" w:rsidRPr="00B10758" w:rsidRDefault="00B10758" w:rsidP="00B10758">
                  <w:pPr>
                    <w:jc w:val="both"/>
                    <w:rPr>
                      <w:rFonts w:ascii="Cambria" w:eastAsia="Times New Roman" w:hAnsi="Cambria" w:cs="Segoe UI"/>
                      <w:lang w:eastAsia="es-ES_tradnl"/>
                    </w:rPr>
                  </w:pPr>
                </w:p>
                <w:p w14:paraId="62B15AE8"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Un sacerdote llamado Ambrosio pregunta a Atón, obispo de Vercelli, que vivió entre los siglos IX y X y era buen conocedor de las disposiciones conciliares antiguas, qué sentido había que dar a los términos </w:t>
                  </w:r>
                  <w:proofErr w:type="spellStart"/>
                  <w:r w:rsidRPr="00B10758">
                    <w:rPr>
                      <w:rFonts w:ascii="Cambria" w:eastAsia="Times New Roman" w:hAnsi="Cambria" w:cs="Segoe UI"/>
                      <w:color w:val="101517"/>
                      <w:lang w:eastAsia="es-ES_tradnl"/>
                    </w:rPr>
                    <w:t>presbytera</w:t>
                  </w:r>
                  <w:proofErr w:type="spellEnd"/>
                  <w:r w:rsidRPr="00B10758">
                    <w:rPr>
                      <w:rFonts w:ascii="Cambria" w:eastAsia="Times New Roman" w:hAnsi="Cambria" w:cs="Segoe UI"/>
                      <w:color w:val="101517"/>
                      <w:lang w:eastAsia="es-ES_tradnl"/>
                    </w:rPr>
                    <w:t xml:space="preserve"> y diaconisa, que aparecían en los cánones antiguos. Atón le responde que las mujeres también recibían los ministerios ad </w:t>
                  </w:r>
                  <w:proofErr w:type="spellStart"/>
                  <w:r w:rsidRPr="00B10758">
                    <w:rPr>
                      <w:rFonts w:ascii="Cambria" w:eastAsia="Times New Roman" w:hAnsi="Cambria" w:cs="Segoe UI"/>
                      <w:color w:val="101517"/>
                      <w:lang w:eastAsia="es-ES_tradnl"/>
                    </w:rPr>
                    <w:t>adjumentum</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virorum</w:t>
                  </w:r>
                  <w:proofErr w:type="spellEnd"/>
                  <w:r w:rsidRPr="00B10758">
                    <w:rPr>
                      <w:rFonts w:ascii="Cambria" w:eastAsia="Times New Roman" w:hAnsi="Cambria" w:cs="Segoe UI"/>
                      <w:color w:val="101517"/>
                      <w:lang w:eastAsia="es-ES_tradnl"/>
                    </w:rPr>
                    <w:t xml:space="preserve">, y cita la carta de Pablo de Tarso a los Romanos, donde puede leerse: “Os recomiendo a Febe, nuestra hermana y diaconisa en la Iglesia de </w:t>
                  </w:r>
                  <w:proofErr w:type="spellStart"/>
                  <w:r w:rsidRPr="00B10758">
                    <w:rPr>
                      <w:rFonts w:ascii="Cambria" w:eastAsia="Times New Roman" w:hAnsi="Cambria" w:cs="Segoe UI"/>
                      <w:color w:val="101517"/>
                      <w:lang w:eastAsia="es-ES_tradnl"/>
                    </w:rPr>
                    <w:t>Cencreas</w:t>
                  </w:r>
                  <w:proofErr w:type="spellEnd"/>
                  <w:r w:rsidRPr="00B10758">
                    <w:rPr>
                      <w:rFonts w:ascii="Cambria" w:eastAsia="Times New Roman" w:hAnsi="Cambria" w:cs="Segoe UI"/>
                      <w:color w:val="101517"/>
                      <w:lang w:eastAsia="es-ES_tradnl"/>
                    </w:rPr>
                    <w:t xml:space="preserve">”. Fue el concilio de </w:t>
                  </w:r>
                  <w:proofErr w:type="spellStart"/>
                  <w:r w:rsidRPr="00B10758">
                    <w:rPr>
                      <w:rFonts w:ascii="Cambria" w:eastAsia="Times New Roman" w:hAnsi="Cambria" w:cs="Segoe UI"/>
                      <w:color w:val="101517"/>
                      <w:lang w:eastAsia="es-ES_tradnl"/>
                    </w:rPr>
                    <w:t>Laodicea</w:t>
                  </w:r>
                  <w:proofErr w:type="spellEnd"/>
                  <w:r w:rsidRPr="00B10758">
                    <w:rPr>
                      <w:rFonts w:ascii="Cambria" w:eastAsia="Times New Roman" w:hAnsi="Cambria" w:cs="Segoe UI"/>
                      <w:color w:val="101517"/>
                      <w:lang w:eastAsia="es-ES_tradnl"/>
                    </w:rPr>
                    <w:t xml:space="preserve">, celebrado durante la segunda mitad del siglo IV, sigue diciendo en su contestación el obispo </w:t>
                  </w:r>
                  <w:proofErr w:type="spellStart"/>
                  <w:r w:rsidRPr="00B10758">
                    <w:rPr>
                      <w:rFonts w:ascii="Cambria" w:eastAsia="Times New Roman" w:hAnsi="Cambria" w:cs="Segoe UI"/>
                      <w:color w:val="101517"/>
                      <w:lang w:eastAsia="es-ES_tradnl"/>
                    </w:rPr>
                    <w:t>Aton</w:t>
                  </w:r>
                  <w:proofErr w:type="spellEnd"/>
                  <w:r w:rsidRPr="00B10758">
                    <w:rPr>
                      <w:rFonts w:ascii="Cambria" w:eastAsia="Times New Roman" w:hAnsi="Cambria" w:cs="Segoe UI"/>
                      <w:color w:val="101517"/>
                      <w:lang w:eastAsia="es-ES_tradnl"/>
                    </w:rPr>
                    <w:t>, el que prohibió la ordenación sacerdotal de las mujeres. Por lo que se refiere al término </w:t>
                  </w:r>
                  <w:proofErr w:type="spellStart"/>
                  <w:r w:rsidRPr="00B10758">
                    <w:rPr>
                      <w:rFonts w:ascii="Cambria" w:eastAsia="Times New Roman" w:hAnsi="Cambria" w:cs="Segoe UI"/>
                      <w:color w:val="101517"/>
                      <w:lang w:eastAsia="es-ES_tradnl"/>
                    </w:rPr>
                    <w:t>presbytera</w:t>
                  </w:r>
                  <w:proofErr w:type="spellEnd"/>
                  <w:r w:rsidRPr="00B10758">
                    <w:rPr>
                      <w:rFonts w:ascii="Cambria" w:eastAsia="Times New Roman" w:hAnsi="Cambria" w:cs="Segoe UI"/>
                      <w:color w:val="101517"/>
                      <w:lang w:eastAsia="es-ES_tradnl"/>
                    </w:rPr>
                    <w:t>, reconoce que en la Iglesia antigua también podía designar a la esposa del presbítero, pero él prefiere el significado de sacerdotisa ordenada que ejercía funciones de dirección, enseñanza y culto en la comunidad cristiana.</w:t>
                  </w:r>
                </w:p>
                <w:p w14:paraId="48F96C11"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En contra de conceder la palabra a las mujeres se manifestó el papa Honorio III (1216-1227) en una carta a los obispos de Burgos y Valencia, en la que les pedía que prohibieran hablar a las abadesas desde el púlpito, práctica habitual entonces. Estas son sus palabras: “Las mujeres no deben hablar en la Iglesia porque sus labios llevan el estigma de Eva, cuyas palabras han sellado el destino del hombre”.</w:t>
                  </w:r>
                </w:p>
                <w:p w14:paraId="4074A16E"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Estos y otros muchos testimonios que podría aportar son rechazados por el magisterio eclesiástico y por la teología de él dependiente, alegando que carecen de rigor científico. Pero, ¿quiénes son los teólogos, quiénes el papa, los cardenales y los obispos para juzgar sobre el valor de las investigaciones históricas? La verdadera razón de su rechazo son los planteamientos patriarcales en los que están instalados. El reconocimiento de la autenticidad de esos testimonios debiera llevarlos a revisar sus concepciones androcéntricas y a abandonar sus prácticas </w:t>
                  </w:r>
                  <w:r w:rsidRPr="00B10758">
                    <w:rPr>
                      <w:rFonts w:ascii="Cambria" w:eastAsia="Times New Roman" w:hAnsi="Cambria" w:cs="Segoe UI"/>
                      <w:color w:val="101517"/>
                      <w:lang w:eastAsia="es-ES_tradnl"/>
                    </w:rPr>
                    <w:lastRenderedPageBreak/>
                    <w:t>misóginas. Pero no parece que estén dispuestos a ello. Prefieren ejercer el poder autoritariamente y en solitario encerrados en la torre de su '</w:t>
                  </w:r>
                  <w:proofErr w:type="spellStart"/>
                  <w:r w:rsidRPr="00B10758">
                    <w:rPr>
                      <w:rFonts w:ascii="Cambria" w:eastAsia="Times New Roman" w:hAnsi="Cambria" w:cs="Segoe UI"/>
                      <w:color w:val="101517"/>
                      <w:lang w:eastAsia="es-ES_tradnl"/>
                    </w:rPr>
                    <w:t>patriarquía</w:t>
                  </w:r>
                  <w:proofErr w:type="spellEnd"/>
                  <w:r w:rsidRPr="00B10758">
                    <w:rPr>
                      <w:rFonts w:ascii="Cambria" w:eastAsia="Times New Roman" w:hAnsi="Cambria" w:cs="Segoe UI"/>
                      <w:color w:val="101517"/>
                      <w:lang w:eastAsia="es-ES_tradnl"/>
                    </w:rPr>
                    <w:t>', en vez de ejercerlo democráticamente y compartirlo con las mujeres, que hoy son mayoría en la Iglesia católica y, sin embargo, carecen de presencia en la mayoría de sus órganos directivos y se ven condenadas a la invisibilidad y al silencio.</w:t>
                  </w:r>
                </w:p>
                <w:p w14:paraId="5561DFD6" w14:textId="77777777" w:rsidR="00B10758" w:rsidRPr="00B10758" w:rsidRDefault="00B10758" w:rsidP="00B10758">
                  <w:pPr>
                    <w:spacing w:before="720" w:after="360"/>
                    <w:jc w:val="both"/>
                    <w:outlineLvl w:val="1"/>
                    <w:rPr>
                      <w:rFonts w:ascii="Cambria" w:eastAsia="Times New Roman" w:hAnsi="Cambria" w:cs="Segoe UI"/>
                      <w:b/>
                      <w:bCs/>
                      <w:color w:val="2D3338"/>
                      <w:lang w:eastAsia="es-ES_tradnl"/>
                    </w:rPr>
                  </w:pPr>
                  <w:r w:rsidRPr="00B10758">
                    <w:rPr>
                      <w:rFonts w:ascii="Cambria" w:eastAsia="Times New Roman" w:hAnsi="Cambria" w:cs="Segoe UI"/>
                      <w:b/>
                      <w:bCs/>
                      <w:color w:val="2D3338"/>
                      <w:lang w:eastAsia="es-ES_tradnl"/>
                    </w:rPr>
                    <w:t>Mujeres sacerdotes en la Iglesia católica, hoy</w:t>
                  </w:r>
                </w:p>
                <w:p w14:paraId="26D4FDA5"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Es verdad que el papa Francisco nos sorprende gratamente con muy certeras críticas contra la discriminación de las mujeres en la sociedad y con iniciativas como la incorporación de tres mujeres, dos religiosas y una laica, en el dicasterio romano de Obispos, cuya función es el nombramiento de candidatos al episcopado. Pero en este mismo nombramiento aprecio una incoherencia o, mejor, una contradicción: las mujeres pueden elegir a los obispos sin poder acceder al episcopado.</w:t>
                  </w:r>
                </w:p>
                <w:p w14:paraId="541361CE" w14:textId="70726A7C" w:rsidR="00B10758" w:rsidRPr="00B10758" w:rsidRDefault="00B10758" w:rsidP="00B10758">
                  <w:pPr>
                    <w:jc w:val="both"/>
                    <w:rPr>
                      <w:rFonts w:ascii="Cambria" w:eastAsia="Times New Roman" w:hAnsi="Cambria" w:cs="Segoe UI"/>
                      <w:lang w:eastAsia="es-ES_tradnl"/>
                    </w:rPr>
                  </w:pPr>
                  <w:hyperlink r:id="rId10" w:tgtFrame="_blank" w:history="1">
                    <w:proofErr w:type="gramStart"/>
                    <w:r w:rsidRPr="00B10758">
                      <w:rPr>
                        <w:rFonts w:ascii="Cambria" w:eastAsia="Times New Roman" w:hAnsi="Cambria" w:cs="Segoe UI"/>
                        <w:color w:val="0675C4"/>
                        <w:u w:val="single"/>
                        <w:lang w:eastAsia="es-ES_tradnl"/>
                      </w:rPr>
                      <w:t>Las nuevos miembros</w:t>
                    </w:r>
                    <w:proofErr w:type="gramEnd"/>
                    <w:r w:rsidRPr="00B10758">
                      <w:rPr>
                        <w:rFonts w:ascii="Cambria" w:eastAsia="Times New Roman" w:hAnsi="Cambria" w:cs="Segoe UI"/>
                        <w:color w:val="0675C4"/>
                        <w:u w:val="single"/>
                        <w:lang w:eastAsia="es-ES_tradnl"/>
                      </w:rPr>
                      <w:t xml:space="preserve"> de la Congregación para los Obispos</w:t>
                    </w:r>
                  </w:hyperlink>
                </w:p>
                <w:p w14:paraId="069C04E4"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Una segunda contradicción, todavía mayor que la anterior, es que, teniendo las mujeres la historia a favor de su ejercicio del ministerio presbiteral, el Código de Derecho Canónico impone a las mujeres ordenadas sacerdotes una pena mayor que a los pederastas: la excomunión, pero no a través de ninguna declaración oficial condenatoria, sino </w:t>
                  </w:r>
                  <w:proofErr w:type="spellStart"/>
                  <w:r w:rsidRPr="00B10758">
                    <w:rPr>
                      <w:rFonts w:ascii="Cambria" w:eastAsia="Times New Roman" w:hAnsi="Cambria" w:cs="Segoe UI"/>
                      <w:color w:val="101517"/>
                      <w:lang w:eastAsia="es-ES_tradnl"/>
                    </w:rPr>
                    <w:t>latae</w:t>
                  </w:r>
                  <w:proofErr w:type="spellEnd"/>
                  <w:r w:rsidRPr="00B10758">
                    <w:rPr>
                      <w:rFonts w:ascii="Cambria" w:eastAsia="Times New Roman" w:hAnsi="Cambria" w:cs="Segoe UI"/>
                      <w:color w:val="101517"/>
                      <w:lang w:eastAsia="es-ES_tradnl"/>
                    </w:rPr>
                    <w:t xml:space="preserve"> </w:t>
                  </w:r>
                  <w:proofErr w:type="spellStart"/>
                  <w:r w:rsidRPr="00B10758">
                    <w:rPr>
                      <w:rFonts w:ascii="Cambria" w:eastAsia="Times New Roman" w:hAnsi="Cambria" w:cs="Segoe UI"/>
                      <w:color w:val="101517"/>
                      <w:lang w:eastAsia="es-ES_tradnl"/>
                    </w:rPr>
                    <w:t>sententiae</w:t>
                  </w:r>
                  <w:proofErr w:type="spellEnd"/>
                  <w:r w:rsidRPr="00B10758">
                    <w:rPr>
                      <w:rFonts w:ascii="Cambria" w:eastAsia="Times New Roman" w:hAnsi="Cambria" w:cs="Segoe UI"/>
                      <w:color w:val="101517"/>
                      <w:lang w:eastAsia="es-ES_tradnl"/>
                    </w:rPr>
                    <w:t>, es decir, automáticamente. Lo que significa que son las propias mujeres sacerdotes las que se auto-excomulgan.</w:t>
                  </w:r>
                </w:p>
                <w:p w14:paraId="2A744545" w14:textId="77777777" w:rsidR="00B10758" w:rsidRPr="00B10758" w:rsidRDefault="00B10758" w:rsidP="00B10758">
                  <w:pPr>
                    <w:shd w:val="clear" w:color="auto" w:fill="F6F7F7"/>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El Código de Derecho Canónico impone a las mujeres ordenadas sacerdotes una pena mayor que a los pederastas: la excomunión</w:t>
                  </w:r>
                </w:p>
                <w:p w14:paraId="49922283" w14:textId="77777777" w:rsidR="00B10758" w:rsidRPr="00B10758" w:rsidRDefault="00B10758" w:rsidP="00B10758">
                  <w:pPr>
                    <w:spacing w:after="360"/>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Pero, lógicamente, se niegan a hacerlo y siguen ejerciendo el ministerio, y en dicho ejercicio cuentan con el apoyo de un sector importante de la comunidad cristiana. Un ministerio al servicio de la comunidad cristiana, ejercido eso sí, clandestina o semiclandestinamente. Estamos ante una tercera contradicción, que afecta actualmente a 265 mujeres ordenadas dentro de la Iglesia Católica Romana en la Asociación de </w:t>
                  </w:r>
                  <w:proofErr w:type="spellStart"/>
                  <w:r w:rsidRPr="00B10758">
                    <w:rPr>
                      <w:rFonts w:ascii="Cambria" w:eastAsia="Times New Roman" w:hAnsi="Cambria" w:cs="Segoe UI"/>
                      <w:color w:val="101517"/>
                      <w:lang w:eastAsia="es-ES_tradnl"/>
                    </w:rPr>
                    <w:t>Presbíteras</w:t>
                  </w:r>
                  <w:proofErr w:type="spellEnd"/>
                  <w:r w:rsidRPr="00B10758">
                    <w:rPr>
                      <w:rFonts w:ascii="Cambria" w:eastAsia="Times New Roman" w:hAnsi="Cambria" w:cs="Segoe UI"/>
                      <w:color w:val="101517"/>
                      <w:lang w:eastAsia="es-ES_tradnl"/>
                    </w:rPr>
                    <w:t xml:space="preserve"> Católicas Romanas, iniciado hace veinte años en el río Danubio, que ejercen vocacionalmente su ministerio en el seguimiento de Jesús de Nazaret, el Cristo liberador, en los ambientes sociales más vulnerables.</w:t>
                  </w:r>
                </w:p>
                <w:p w14:paraId="0642C925" w14:textId="77777777" w:rsidR="00B10758" w:rsidRPr="00B10758" w:rsidRDefault="00B10758" w:rsidP="00B10758">
                  <w:pPr>
                    <w:jc w:val="both"/>
                    <w:rPr>
                      <w:rFonts w:ascii="Cambria" w:eastAsia="Times New Roman" w:hAnsi="Cambria" w:cs="Segoe UI"/>
                      <w:color w:val="101517"/>
                      <w:lang w:eastAsia="es-ES_tradnl"/>
                    </w:rPr>
                  </w:pPr>
                  <w:r w:rsidRPr="00B10758">
                    <w:rPr>
                      <w:rFonts w:ascii="Cambria" w:eastAsia="Times New Roman" w:hAnsi="Cambria" w:cs="Segoe UI"/>
                      <w:color w:val="101517"/>
                      <w:lang w:eastAsia="es-ES_tradnl"/>
                    </w:rPr>
                    <w:t xml:space="preserve">Puedo dar fe de ello porque conozco a algunas de estas mujeres sacerdotes que ejercen el ministerio presbiteral de manera gratuita desde la opción por los pobres, no reproducen el clericalismo ni el patriarcado del sacerdocio masculino oficial, trabajan por una Iglesia no discriminatoria por razones de etnia, cultura, religión, clase social, género e identidad sexual y cuentan con una excelente acogida y un merecido reconocimiento en el seno de las comunidades de base y de los </w:t>
                  </w:r>
                  <w:r w:rsidRPr="00B10758">
                    <w:rPr>
                      <w:rFonts w:ascii="Cambria" w:eastAsia="Times New Roman" w:hAnsi="Cambria" w:cs="Segoe UI"/>
                      <w:color w:val="101517"/>
                      <w:lang w:eastAsia="es-ES_tradnl"/>
                    </w:rPr>
                    <w:lastRenderedPageBreak/>
                    <w:t>movimientos sociales, con quienes están comprometidas en la lucha por una sociedad más justa y eco-fraterno-sororal.</w:t>
                  </w:r>
                </w:p>
              </w:tc>
            </w:tr>
          </w:tbl>
          <w:p w14:paraId="55D6802C" w14:textId="77777777" w:rsidR="00B10758" w:rsidRPr="00B10758" w:rsidRDefault="00B10758" w:rsidP="00B10758">
            <w:pPr>
              <w:jc w:val="both"/>
              <w:rPr>
                <w:rFonts w:ascii="Segoe UI" w:eastAsia="Times New Roman" w:hAnsi="Segoe UI" w:cs="Segoe UI"/>
                <w:color w:val="101517"/>
                <w:lang w:eastAsia="es-ES_tradnl"/>
              </w:rPr>
            </w:pPr>
          </w:p>
        </w:tc>
      </w:tr>
    </w:tbl>
    <w:p w14:paraId="5426B6A7" w14:textId="1D22BB4F" w:rsidR="00A86916" w:rsidRDefault="00A86916" w:rsidP="00B10758">
      <w:pPr>
        <w:jc w:val="both"/>
      </w:pPr>
    </w:p>
    <w:tbl>
      <w:tblPr>
        <w:tblW w:w="7320" w:type="dxa"/>
        <w:tblCellMar>
          <w:left w:w="0" w:type="dxa"/>
          <w:right w:w="0" w:type="dxa"/>
        </w:tblCellMar>
        <w:tblLook w:val="04A0" w:firstRow="1" w:lastRow="0" w:firstColumn="1" w:lastColumn="0" w:noHBand="0" w:noVBand="1"/>
      </w:tblPr>
      <w:tblGrid>
        <w:gridCol w:w="2196"/>
        <w:gridCol w:w="5124"/>
      </w:tblGrid>
      <w:tr w:rsidR="006C566B" w:rsidRPr="00B10758" w14:paraId="245AAFC0" w14:textId="77777777" w:rsidTr="00F50C11">
        <w:tc>
          <w:tcPr>
            <w:tcW w:w="2196" w:type="dxa"/>
            <w:vAlign w:val="center"/>
            <w:hideMark/>
          </w:tcPr>
          <w:p w14:paraId="2523131A" w14:textId="77777777" w:rsidR="006C566B" w:rsidRPr="00B10758" w:rsidRDefault="006C566B" w:rsidP="00F50C11">
            <w:pPr>
              <w:spacing w:line="360" w:lineRule="atLeast"/>
              <w:jc w:val="both"/>
              <w:rPr>
                <w:rFonts w:ascii="Cambria" w:eastAsia="Times New Roman" w:hAnsi="Cambria" w:cs="Segoe UI"/>
                <w:lang w:eastAsia="es-ES_tradnl"/>
              </w:rPr>
            </w:pPr>
          </w:p>
        </w:tc>
        <w:tc>
          <w:tcPr>
            <w:tcW w:w="0" w:type="auto"/>
            <w:vAlign w:val="center"/>
            <w:hideMark/>
          </w:tcPr>
          <w:p w14:paraId="4DA09400" w14:textId="77777777" w:rsidR="006C566B" w:rsidRPr="00B10758" w:rsidRDefault="006C566B" w:rsidP="00F50C11">
            <w:pPr>
              <w:spacing w:line="360" w:lineRule="atLeast"/>
              <w:jc w:val="both"/>
              <w:rPr>
                <w:rFonts w:ascii="Cambria" w:eastAsia="Times New Roman" w:hAnsi="Cambria" w:cs="Segoe UI"/>
                <w:lang w:eastAsia="es-ES_tradnl"/>
              </w:rPr>
            </w:pPr>
            <w:r w:rsidRPr="00B10758">
              <w:rPr>
                <w:rFonts w:ascii="Cambria" w:eastAsia="Times New Roman" w:hAnsi="Cambria" w:cs="Segoe UI"/>
                <w:lang w:eastAsia="es-ES_tradnl"/>
              </w:rPr>
              <w:fldChar w:fldCharType="begin"/>
            </w:r>
            <w:r w:rsidRPr="00B10758">
              <w:rPr>
                <w:rFonts w:ascii="Cambria" w:eastAsia="Times New Roman" w:hAnsi="Cambria" w:cs="Segoe UI"/>
                <w:lang w:eastAsia="es-ES_tradnl"/>
              </w:rPr>
              <w:instrText xml:space="preserve"> HYPERLINK "http://eukleria.com" \t "_blank" </w:instrText>
            </w:r>
            <w:r w:rsidRPr="00B10758">
              <w:rPr>
                <w:rFonts w:ascii="Cambria" w:eastAsia="Times New Roman" w:hAnsi="Cambria" w:cs="Segoe UI"/>
                <w:lang w:eastAsia="es-ES_tradnl"/>
              </w:rPr>
              <w:fldChar w:fldCharType="separate"/>
            </w:r>
            <w:r w:rsidRPr="00B10758">
              <w:rPr>
                <w:rFonts w:ascii="Cambria" w:eastAsia="Times New Roman" w:hAnsi="Cambria" w:cs="Segoe UI"/>
                <w:color w:val="0675C4"/>
                <w:u w:val="single"/>
                <w:lang w:eastAsia="es-ES_tradnl"/>
              </w:rPr>
              <w:t>http://eukleria.co</w:t>
            </w:r>
            <w:r w:rsidRPr="00B10758">
              <w:rPr>
                <w:rFonts w:ascii="Cambria" w:eastAsia="Times New Roman" w:hAnsi="Cambria" w:cs="Segoe UI"/>
                <w:color w:val="0675C4"/>
                <w:u w:val="single"/>
                <w:lang w:eastAsia="es-ES_tradnl"/>
              </w:rPr>
              <w:t>m</w:t>
            </w:r>
            <w:r w:rsidRPr="00B10758">
              <w:rPr>
                <w:rFonts w:ascii="Cambria" w:eastAsia="Times New Roman" w:hAnsi="Cambria" w:cs="Segoe UI"/>
                <w:lang w:eastAsia="es-ES_tradnl"/>
              </w:rPr>
              <w:fldChar w:fldCharType="end"/>
            </w:r>
          </w:p>
        </w:tc>
      </w:tr>
    </w:tbl>
    <w:p w14:paraId="58789619" w14:textId="77777777" w:rsidR="006C566B" w:rsidRPr="00B10758" w:rsidRDefault="006C566B" w:rsidP="00B10758">
      <w:pPr>
        <w:jc w:val="both"/>
      </w:pPr>
    </w:p>
    <w:sectPr w:rsidR="006C566B" w:rsidRPr="00B10758" w:rsidSect="00B10758">
      <w:pgSz w:w="11900" w:h="16840"/>
      <w:pgMar w:top="9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9B38" w14:textId="77777777" w:rsidR="001F3DB5" w:rsidRDefault="001F3DB5" w:rsidP="00B54259">
      <w:r>
        <w:separator/>
      </w:r>
    </w:p>
  </w:endnote>
  <w:endnote w:type="continuationSeparator" w:id="0">
    <w:p w14:paraId="25AB8EF7" w14:textId="77777777" w:rsidR="001F3DB5" w:rsidRDefault="001F3DB5" w:rsidP="00B5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A9DE" w14:textId="77777777" w:rsidR="001F3DB5" w:rsidRDefault="001F3DB5" w:rsidP="00B54259">
      <w:r>
        <w:separator/>
      </w:r>
    </w:p>
  </w:footnote>
  <w:footnote w:type="continuationSeparator" w:id="0">
    <w:p w14:paraId="1221CD1F" w14:textId="77777777" w:rsidR="001F3DB5" w:rsidRDefault="001F3DB5" w:rsidP="00B54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58"/>
    <w:rsid w:val="000440BA"/>
    <w:rsid w:val="001F3DB5"/>
    <w:rsid w:val="006C566B"/>
    <w:rsid w:val="00A86916"/>
    <w:rsid w:val="00B10758"/>
    <w:rsid w:val="00B542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1EDB"/>
  <w15:chartTrackingRefBased/>
  <w15:docId w15:val="{2E068594-FA4C-7647-991C-BE565D5E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10758"/>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B10758"/>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0758"/>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B10758"/>
    <w:rPr>
      <w:rFonts w:ascii="Times New Roman" w:eastAsia="Times New Roman" w:hAnsi="Times New Roman" w:cs="Times New Roman"/>
      <w:b/>
      <w:bCs/>
      <w:sz w:val="36"/>
      <w:szCs w:val="36"/>
      <w:lang w:eastAsia="es-ES_tradnl"/>
    </w:rPr>
  </w:style>
  <w:style w:type="character" w:styleId="Hipervnculo">
    <w:name w:val="Hyperlink"/>
    <w:basedOn w:val="Fuentedeprrafopredeter"/>
    <w:uiPriority w:val="99"/>
    <w:semiHidden/>
    <w:unhideWhenUsed/>
    <w:rsid w:val="00B10758"/>
    <w:rPr>
      <w:color w:val="0000FF"/>
      <w:u w:val="single"/>
    </w:rPr>
  </w:style>
  <w:style w:type="paragraph" w:styleId="NormalWeb">
    <w:name w:val="Normal (Web)"/>
    <w:basedOn w:val="Normal"/>
    <w:uiPriority w:val="99"/>
    <w:semiHidden/>
    <w:unhideWhenUsed/>
    <w:rsid w:val="00B10758"/>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B10758"/>
  </w:style>
  <w:style w:type="character" w:styleId="Textoennegrita">
    <w:name w:val="Strong"/>
    <w:basedOn w:val="Fuentedeprrafopredeter"/>
    <w:uiPriority w:val="22"/>
    <w:qFormat/>
    <w:rsid w:val="00B10758"/>
    <w:rPr>
      <w:b/>
      <w:bCs/>
    </w:rPr>
  </w:style>
  <w:style w:type="character" w:styleId="nfasis">
    <w:name w:val="Emphasis"/>
    <w:basedOn w:val="Fuentedeprrafopredeter"/>
    <w:uiPriority w:val="20"/>
    <w:qFormat/>
    <w:rsid w:val="00B10758"/>
    <w:rPr>
      <w:i/>
      <w:iCs/>
    </w:rPr>
  </w:style>
  <w:style w:type="paragraph" w:styleId="Encabezado">
    <w:name w:val="header"/>
    <w:basedOn w:val="Normal"/>
    <w:link w:val="EncabezadoCar"/>
    <w:uiPriority w:val="99"/>
    <w:unhideWhenUsed/>
    <w:rsid w:val="00B54259"/>
    <w:pPr>
      <w:tabs>
        <w:tab w:val="center" w:pos="4419"/>
        <w:tab w:val="right" w:pos="8838"/>
      </w:tabs>
    </w:pPr>
  </w:style>
  <w:style w:type="character" w:customStyle="1" w:styleId="EncabezadoCar">
    <w:name w:val="Encabezado Car"/>
    <w:basedOn w:val="Fuentedeprrafopredeter"/>
    <w:link w:val="Encabezado"/>
    <w:uiPriority w:val="99"/>
    <w:rsid w:val="00B54259"/>
  </w:style>
  <w:style w:type="paragraph" w:styleId="Piedepgina">
    <w:name w:val="footer"/>
    <w:basedOn w:val="Normal"/>
    <w:link w:val="PiedepginaCar"/>
    <w:uiPriority w:val="99"/>
    <w:unhideWhenUsed/>
    <w:rsid w:val="00B54259"/>
    <w:pPr>
      <w:tabs>
        <w:tab w:val="center" w:pos="4419"/>
        <w:tab w:val="right" w:pos="8838"/>
      </w:tabs>
    </w:pPr>
  </w:style>
  <w:style w:type="character" w:customStyle="1" w:styleId="PiedepginaCar">
    <w:name w:val="Pie de página Car"/>
    <w:basedOn w:val="Fuentedeprrafopredeter"/>
    <w:link w:val="Piedepgina"/>
    <w:uiPriority w:val="99"/>
    <w:rsid w:val="00B5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984931">
      <w:bodyDiv w:val="1"/>
      <w:marLeft w:val="0"/>
      <w:marRight w:val="0"/>
      <w:marTop w:val="0"/>
      <w:marBottom w:val="0"/>
      <w:divBdr>
        <w:top w:val="none" w:sz="0" w:space="0" w:color="auto"/>
        <w:left w:val="none" w:sz="0" w:space="0" w:color="auto"/>
        <w:bottom w:val="none" w:sz="0" w:space="0" w:color="auto"/>
        <w:right w:val="none" w:sz="0" w:space="0" w:color="auto"/>
      </w:divBdr>
      <w:divsChild>
        <w:div w:id="1870683229">
          <w:marLeft w:val="0"/>
          <w:marRight w:val="0"/>
          <w:marTop w:val="0"/>
          <w:marBottom w:val="360"/>
          <w:divBdr>
            <w:top w:val="none" w:sz="0" w:space="0" w:color="auto"/>
            <w:left w:val="none" w:sz="0" w:space="0" w:color="auto"/>
            <w:bottom w:val="none" w:sz="0" w:space="0" w:color="auto"/>
            <w:right w:val="none" w:sz="0" w:space="0" w:color="auto"/>
          </w:divBdr>
          <w:divsChild>
            <w:div w:id="1504663374">
              <w:marLeft w:val="0"/>
              <w:marRight w:val="0"/>
              <w:marTop w:val="0"/>
              <w:marBottom w:val="360"/>
              <w:divBdr>
                <w:top w:val="none" w:sz="0" w:space="0" w:color="auto"/>
                <w:left w:val="none" w:sz="0" w:space="0" w:color="auto"/>
                <w:bottom w:val="none" w:sz="0" w:space="0" w:color="auto"/>
                <w:right w:val="none" w:sz="0" w:space="0" w:color="auto"/>
              </w:divBdr>
              <w:divsChild>
                <w:div w:id="1640572942">
                  <w:marLeft w:val="0"/>
                  <w:marRight w:val="0"/>
                  <w:marTop w:val="0"/>
                  <w:marBottom w:val="360"/>
                  <w:divBdr>
                    <w:top w:val="none" w:sz="0" w:space="0" w:color="auto"/>
                    <w:left w:val="none" w:sz="0" w:space="0" w:color="auto"/>
                    <w:bottom w:val="none" w:sz="0" w:space="0" w:color="auto"/>
                    <w:right w:val="none" w:sz="0" w:space="0" w:color="auto"/>
                  </w:divBdr>
                </w:div>
                <w:div w:id="804354271">
                  <w:marLeft w:val="0"/>
                  <w:marRight w:val="0"/>
                  <w:marTop w:val="0"/>
                  <w:marBottom w:val="360"/>
                  <w:divBdr>
                    <w:top w:val="none" w:sz="0" w:space="0" w:color="auto"/>
                    <w:left w:val="none" w:sz="0" w:space="0" w:color="auto"/>
                    <w:bottom w:val="none" w:sz="0" w:space="0" w:color="auto"/>
                    <w:right w:val="none" w:sz="0" w:space="0" w:color="auto"/>
                  </w:divBdr>
                </w:div>
                <w:div w:id="992484234">
                  <w:marLeft w:val="0"/>
                  <w:marRight w:val="0"/>
                  <w:marTop w:val="0"/>
                  <w:marBottom w:val="360"/>
                  <w:divBdr>
                    <w:top w:val="none" w:sz="0" w:space="0" w:color="auto"/>
                    <w:left w:val="none" w:sz="0" w:space="0" w:color="auto"/>
                    <w:bottom w:val="none" w:sz="0" w:space="0" w:color="auto"/>
                    <w:right w:val="none" w:sz="0" w:space="0" w:color="auto"/>
                  </w:divBdr>
                </w:div>
                <w:div w:id="355429682">
                  <w:marLeft w:val="0"/>
                  <w:marRight w:val="0"/>
                  <w:marTop w:val="0"/>
                  <w:marBottom w:val="360"/>
                  <w:divBdr>
                    <w:top w:val="none" w:sz="0" w:space="0" w:color="auto"/>
                    <w:left w:val="none" w:sz="0" w:space="0" w:color="auto"/>
                    <w:bottom w:val="none" w:sz="0" w:space="0" w:color="auto"/>
                    <w:right w:val="none" w:sz="0" w:space="0" w:color="auto"/>
                  </w:divBdr>
                </w:div>
                <w:div w:id="1221750024">
                  <w:marLeft w:val="0"/>
                  <w:marRight w:val="0"/>
                  <w:marTop w:val="0"/>
                  <w:marBottom w:val="360"/>
                  <w:divBdr>
                    <w:top w:val="none" w:sz="0" w:space="0" w:color="auto"/>
                    <w:left w:val="none" w:sz="0" w:space="0" w:color="auto"/>
                    <w:bottom w:val="none" w:sz="0" w:space="0" w:color="auto"/>
                    <w:right w:val="none" w:sz="0" w:space="0" w:color="auto"/>
                  </w:divBdr>
                </w:div>
                <w:div w:id="1674067771">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religiondigital.org/juan_jose_tamay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2021/09/23/opinion/sacerdocio-mujeres_2380571943_15725210_660x371.jp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religiondigital.org/2022/07/13/vaticano/nuevos-miembros-Congregacion-Obispos_2468463145_16132140_667x375.png" TargetMode="External"/><Relationship Id="rId4" Type="http://schemas.openxmlformats.org/officeDocument/2006/relationships/footnotes" Target="footnotes.xml"/><Relationship Id="rId9" Type="http://schemas.openxmlformats.org/officeDocument/2006/relationships/hyperlink" Target="https://www.religiondigital.org/2022/08/01/mundo/Febe-Cencreas_2474162564_16150385_667x375.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2242</Words>
  <Characters>12334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2022-08-02T09:06:00Z</dcterms:created>
  <dcterms:modified xsi:type="dcterms:W3CDTF">2022-08-02T09:18:00Z</dcterms:modified>
</cp:coreProperties>
</file>